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67255">
      <w:pPr>
        <w:pStyle w:val="Nincstrkz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27209" w:rsidRPr="00D973F1" w:rsidRDefault="00527209" w:rsidP="00D67255">
      <w:pPr>
        <w:pStyle w:val="Nincstrkz"/>
        <w:rPr>
          <w:rFonts w:ascii="Arial" w:hAnsi="Arial" w:cs="Arial"/>
          <w:b/>
          <w:sz w:val="28"/>
          <w:szCs w:val="28"/>
        </w:rPr>
      </w:pPr>
    </w:p>
    <w:p w:rsidR="00D973F1" w:rsidRDefault="00D973F1" w:rsidP="00D67255">
      <w:pPr>
        <w:pStyle w:val="Nincstrkz"/>
        <w:rPr>
          <w:rFonts w:ascii="Arial" w:hAnsi="Arial" w:cs="Arial"/>
          <w:sz w:val="20"/>
          <w:szCs w:val="20"/>
        </w:rPr>
      </w:pPr>
      <w:r w:rsidRPr="00851998">
        <w:rPr>
          <w:rFonts w:ascii="Arial" w:hAnsi="Arial" w:cs="Arial"/>
          <w:b/>
          <w:color w:val="333399"/>
          <w:sz w:val="20"/>
          <w:szCs w:val="20"/>
        </w:rPr>
        <w:t>Cím:</w:t>
      </w:r>
      <w:r w:rsidRPr="00851998">
        <w:rPr>
          <w:rFonts w:ascii="Arial" w:hAnsi="Arial" w:cs="Arial"/>
          <w:color w:val="333399"/>
          <w:sz w:val="20"/>
          <w:szCs w:val="20"/>
        </w:rPr>
        <w:t xml:space="preserve"> </w:t>
      </w:r>
      <w:r w:rsidR="001F6CA7">
        <w:t>Kanizsai Kerékpár Múzeum és Közösségi Tér</w:t>
      </w:r>
    </w:p>
    <w:p w:rsidR="00851998" w:rsidRDefault="00851998" w:rsidP="00D67255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1F6CA7" w:rsidP="00D67255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</w:t>
      </w:r>
      <w:r w:rsidR="00D67255">
        <w:rPr>
          <w:rFonts w:ascii="Arial" w:hAnsi="Arial" w:cs="Arial"/>
          <w:b/>
          <w:color w:val="333399"/>
          <w:sz w:val="20"/>
          <w:szCs w:val="20"/>
        </w:rPr>
        <w:t>3. szeptember 20.</w:t>
      </w:r>
      <w:r w:rsidR="00D67255">
        <w:rPr>
          <w:rFonts w:ascii="Arial" w:hAnsi="Arial" w:cs="Arial"/>
          <w:sz w:val="20"/>
          <w:szCs w:val="20"/>
        </w:rPr>
        <w:t xml:space="preserve"> 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6E21" wp14:editId="03A19DCA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5838825" cy="1028700"/>
                <wp:effectExtent l="0" t="0" r="28575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F1" w:rsidRPr="00E52CDA" w:rsidRDefault="00D973F1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973F1" w:rsidRPr="00E52CDA" w:rsidRDefault="00D67255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Két</w:t>
                            </w:r>
                            <w:r w:rsidR="001F6CA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pályázatot 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dott be a</w:t>
                            </w:r>
                            <w:r w:rsidR="001F6CA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6CA7" w:rsidRPr="001F6CA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Kanizsai </w:t>
                            </w:r>
                            <w:proofErr w:type="spellStart"/>
                            <w:r w:rsidR="001F6CA7" w:rsidRPr="001F6CA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Oldtimer</w:t>
                            </w:r>
                            <w:proofErr w:type="spellEnd"/>
                            <w:r w:rsidR="001F6CA7" w:rsidRPr="001F6CA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Kerékpáros Egyesület</w:t>
                            </w:r>
                            <w:r w:rsidR="001F6CA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múzeum és közösségi tér kialakítására</w:t>
                            </w:r>
                            <w:r w:rsidR="0063769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, amelynek eredményeként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52,8</w:t>
                            </w:r>
                            <w:r w:rsidR="0063769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millió Ft támogatást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nyert el</w:t>
                            </w:r>
                            <w:r w:rsidR="0063769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a beruházásra.</w:t>
                            </w:r>
                            <w:r w:rsidR="001F6CA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Az Egyesület tulajdonában álló impozáns, belvárosi</w:t>
                            </w:r>
                            <w:r w:rsidR="0063769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nagykanizsai</w:t>
                            </w:r>
                            <w:r w:rsidR="001F6CA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épületben több mint 200 m2 alapterületen lesz bemutatható az Egyesület értékes gyűjteménye és </w:t>
                            </w:r>
                            <w:r w:rsidR="00A25AF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ezen túlmenően kisebb workshopok és előadások megtartására alkalmas terek is kialakításra kerülnek. </w:t>
                            </w:r>
                          </w:p>
                          <w:p w:rsidR="00D973F1" w:rsidRDefault="00D973F1" w:rsidP="00D973F1">
                            <w:pPr>
                              <w:pStyle w:val="Nincstrkz"/>
                            </w:pPr>
                          </w:p>
                          <w:p w:rsidR="00D973F1" w:rsidRPr="00D973F1" w:rsidRDefault="00D973F1" w:rsidP="00D973F1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46E21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35pt;margin-top:2.65pt;width:459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" fillcolor="white [3201]" strokeweight=".5pt">
                <v:textbox>
                  <w:txbxContent>
                    <w:p w:rsidR="00D973F1" w:rsidRPr="00E52CDA" w:rsidRDefault="00D973F1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D973F1" w:rsidRPr="00E52CDA" w:rsidRDefault="00D67255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Két</w:t>
                      </w:r>
                      <w:r w:rsidR="001F6CA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pályázatot 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dott be a</w:t>
                      </w:r>
                      <w:r w:rsidR="001F6CA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F6CA7" w:rsidRPr="001F6CA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Kanizsai </w:t>
                      </w:r>
                      <w:proofErr w:type="spellStart"/>
                      <w:r w:rsidR="001F6CA7" w:rsidRPr="001F6CA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Oldtimer</w:t>
                      </w:r>
                      <w:proofErr w:type="spellEnd"/>
                      <w:r w:rsidR="001F6CA7" w:rsidRPr="001F6CA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Kerékpáros Egyesület</w:t>
                      </w:r>
                      <w:r w:rsidR="001F6CA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múzeum és közösségi tér kialakítására</w:t>
                      </w:r>
                      <w:r w:rsidR="0063769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, amelynek eredményeként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52,8</w:t>
                      </w:r>
                      <w:r w:rsidR="0063769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millió Ft támogatást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nyert el</w:t>
                      </w:r>
                      <w:r w:rsidR="0063769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a beruházásra.</w:t>
                      </w:r>
                      <w:r w:rsidR="001F6CA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Az Egyesület tulajdonában álló impozáns, belvárosi</w:t>
                      </w:r>
                      <w:r w:rsidR="0063769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nagykanizsai</w:t>
                      </w:r>
                      <w:r w:rsidR="001F6CA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épületben több mint 200 m2 alapterületen lesz bemutatható az Egyesület értékes gyűjteménye és </w:t>
                      </w:r>
                      <w:r w:rsidR="00A25AF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ezen túlmenően kisebb workshopok és előadások megtartására alkalmas terek is kialakításra kerülnek. </w:t>
                      </w:r>
                    </w:p>
                    <w:p w:rsidR="00D973F1" w:rsidRDefault="00D973F1" w:rsidP="00D973F1">
                      <w:pPr>
                        <w:pStyle w:val="Nincstrkz"/>
                      </w:pPr>
                    </w:p>
                    <w:p w:rsidR="00D973F1" w:rsidRPr="00D973F1" w:rsidRDefault="00D973F1" w:rsidP="00D973F1">
                      <w:pPr>
                        <w:pStyle w:val="Nincstrkz"/>
                      </w:pPr>
                    </w:p>
                  </w:txbxContent>
                </v:textbox>
              </v:shape>
            </w:pict>
          </mc:Fallback>
        </mc:AlternateConten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A25AF9" w:rsidRDefault="00A25AF9" w:rsidP="00A25AF9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Régi álma válik valóra az Egyesületnek a nemrég indult infrastrukturális projekttel. A belvárosi, magas belmagasságú, boltozatos és látszó téglaburkolattal rendelkező épületrész mintha mindig erre a funkcióra várt volna. A nemes gyűjtemény, és a rendezvényeken mai napig is „bevetett” kerékpárok méltó teret kapnak a szürke hétköznapokban, </w:t>
      </w:r>
      <w:r w:rsidR="00637691">
        <w:rPr>
          <w:rFonts w:ascii="Arial" w:hAnsi="Arial" w:cs="Arial"/>
          <w:sz w:val="20"/>
          <w:szCs w:val="20"/>
        </w:rPr>
        <w:t xml:space="preserve">így </w:t>
      </w:r>
      <w:r w:rsidR="00D67255">
        <w:rPr>
          <w:rFonts w:ascii="Arial" w:hAnsi="Arial" w:cs="Arial"/>
          <w:sz w:val="20"/>
          <w:szCs w:val="20"/>
        </w:rPr>
        <w:t xml:space="preserve">más </w:t>
      </w:r>
      <w:r w:rsidR="00637691">
        <w:rPr>
          <w:rFonts w:ascii="Arial" w:hAnsi="Arial" w:cs="Arial"/>
          <w:sz w:val="20"/>
          <w:szCs w:val="20"/>
        </w:rPr>
        <w:t>installáció</w:t>
      </w:r>
      <w:r w:rsidR="00D67255">
        <w:rPr>
          <w:rFonts w:ascii="Arial" w:hAnsi="Arial" w:cs="Arial"/>
          <w:sz w:val="20"/>
          <w:szCs w:val="20"/>
        </w:rPr>
        <w:t>kkal</w:t>
      </w:r>
      <w:r w:rsidR="00637691">
        <w:rPr>
          <w:rFonts w:ascii="Arial" w:hAnsi="Arial" w:cs="Arial"/>
          <w:sz w:val="20"/>
          <w:szCs w:val="20"/>
        </w:rPr>
        <w:t xml:space="preserve"> együtt </w:t>
      </w:r>
      <w:r>
        <w:rPr>
          <w:rFonts w:ascii="Arial" w:hAnsi="Arial" w:cs="Arial"/>
          <w:sz w:val="20"/>
          <w:szCs w:val="20"/>
        </w:rPr>
        <w:t>látványosan bemutatva a századelős Nagykanizsa polgári hangulatát</w:t>
      </w:r>
      <w:r w:rsidR="00637691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>.</w:t>
      </w:r>
    </w:p>
    <w:p w:rsidR="00A25AF9" w:rsidRDefault="00A25AF9" w:rsidP="00A25AF9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A25AF9" w:rsidRDefault="00A25AF9" w:rsidP="00A25AF9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pályázati támogatásnak köszönhetően a következő beavatkozások valósul</w:t>
      </w:r>
      <w:r w:rsidR="00D67255"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t xml:space="preserve"> meg:</w:t>
      </w:r>
    </w:p>
    <w:p w:rsidR="00637691" w:rsidRDefault="00637691" w:rsidP="00637691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megtörtén</w:t>
      </w:r>
      <w:r w:rsidR="00D6725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az épület vízszigetelése,</w:t>
      </w:r>
    </w:p>
    <w:p w:rsidR="00637691" w:rsidRDefault="00637691" w:rsidP="00637691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kialakításra kerül</w:t>
      </w:r>
      <w:r w:rsidR="00D6725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az épület villamos- és földgáz rendszere,</w:t>
      </w:r>
    </w:p>
    <w:p w:rsidR="00637691" w:rsidRDefault="00637691" w:rsidP="00637691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kialakításra kerül</w:t>
      </w:r>
      <w:r w:rsidR="00D67255">
        <w:rPr>
          <w:rFonts w:ascii="Arial" w:hAnsi="Arial" w:cs="Arial"/>
          <w:sz w:val="20"/>
          <w:szCs w:val="20"/>
        </w:rPr>
        <w:t>tek</w:t>
      </w:r>
      <w:r>
        <w:rPr>
          <w:rFonts w:ascii="Arial" w:hAnsi="Arial" w:cs="Arial"/>
          <w:sz w:val="20"/>
          <w:szCs w:val="20"/>
        </w:rPr>
        <w:t xml:space="preserve"> a megfelelő padló- és falburkolatok,</w:t>
      </w:r>
    </w:p>
    <w:p w:rsidR="00637691" w:rsidRDefault="00637691" w:rsidP="00637691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megtörtén</w:t>
      </w:r>
      <w:r w:rsidR="00D6725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az épület projektarányos akadálymentesítése</w:t>
      </w:r>
      <w:r w:rsidR="004959D2">
        <w:rPr>
          <w:rFonts w:ascii="Arial" w:hAnsi="Arial" w:cs="Arial"/>
          <w:sz w:val="20"/>
          <w:szCs w:val="20"/>
        </w:rPr>
        <w:t>,</w:t>
      </w:r>
    </w:p>
    <w:p w:rsidR="00637691" w:rsidRDefault="00637691" w:rsidP="00637691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és új nyílászárók kerül</w:t>
      </w:r>
      <w:r w:rsidR="00D67255">
        <w:rPr>
          <w:rFonts w:ascii="Arial" w:hAnsi="Arial" w:cs="Arial"/>
          <w:sz w:val="20"/>
          <w:szCs w:val="20"/>
        </w:rPr>
        <w:t>tek</w:t>
      </w:r>
      <w:r>
        <w:rPr>
          <w:rFonts w:ascii="Arial" w:hAnsi="Arial" w:cs="Arial"/>
          <w:sz w:val="20"/>
          <w:szCs w:val="20"/>
        </w:rPr>
        <w:t xml:space="preserve"> beépítésre. </w:t>
      </w:r>
    </w:p>
    <w:p w:rsidR="00637691" w:rsidRDefault="00637691" w:rsidP="00637691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67255" w:rsidRDefault="00D67255" w:rsidP="00A25AF9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teljes fejlesztést két pályázat is támogatta:</w:t>
      </w:r>
    </w:p>
    <w:p w:rsidR="00D67255" w:rsidRDefault="00D67255" w:rsidP="00D67255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nagyobb bemutatótér kialakítását lehetővé tevő projekt összköltsége 35,5 millió Ft</w:t>
      </w:r>
    </w:p>
    <w:p w:rsidR="00D67255" w:rsidRDefault="00D67255" w:rsidP="00D67255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kisebb és később elnyert támogatás, ami a workshopok megtartására alkalmas terek kialakítását, és a bemutatótér bővítését tette lehetővé 17,3 millió Ft kiegészítő finanszírozást jelentett az Egyesületnek. </w:t>
      </w:r>
    </w:p>
    <w:p w:rsidR="00637691" w:rsidRDefault="00637691" w:rsidP="00A25AF9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C04810" w:rsidRDefault="00C04810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C04810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tervezett zárásának dátuma: 2023. </w:t>
      </w:r>
      <w:r w:rsidR="00D67255">
        <w:rPr>
          <w:rFonts w:ascii="Arial" w:hAnsi="Arial" w:cs="Arial"/>
          <w:sz w:val="20"/>
          <w:szCs w:val="20"/>
        </w:rPr>
        <w:t>szeptember 30.</w:t>
      </w:r>
    </w:p>
    <w:p w:rsidR="00C04810" w:rsidRDefault="001E7734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támogatás aránya: 100%</w:t>
      </w:r>
    </w:p>
    <w:p w:rsidR="00D67255" w:rsidRDefault="00D67255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67255" w:rsidRDefault="00D67255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1E7734" w:rsidRPr="001E7734" w:rsidRDefault="001E7734" w:rsidP="001E7734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1E7734">
        <w:rPr>
          <w:rFonts w:ascii="Arial" w:hAnsi="Arial" w:cs="Arial"/>
          <w:sz w:val="20"/>
          <w:szCs w:val="20"/>
        </w:rPr>
        <w:t>SZERZŐDÉS SZÁMA:</w:t>
      </w:r>
      <w:r>
        <w:rPr>
          <w:rFonts w:ascii="Arial" w:hAnsi="Arial" w:cs="Arial"/>
          <w:sz w:val="20"/>
          <w:szCs w:val="20"/>
        </w:rPr>
        <w:t xml:space="preserve"> </w:t>
      </w:r>
      <w:r w:rsidRPr="001E7734">
        <w:rPr>
          <w:rFonts w:ascii="Arial" w:hAnsi="Arial" w:cs="Arial"/>
          <w:sz w:val="20"/>
          <w:szCs w:val="20"/>
        </w:rPr>
        <w:t>TOP-7.1.1-16-H-ERFA-2021-00822</w:t>
      </w:r>
    </w:p>
    <w:p w:rsidR="001E7734" w:rsidRPr="001E7734" w:rsidRDefault="001E7734" w:rsidP="001E7734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1E7734">
        <w:rPr>
          <w:rFonts w:ascii="Arial" w:hAnsi="Arial" w:cs="Arial"/>
          <w:sz w:val="20"/>
          <w:szCs w:val="20"/>
        </w:rPr>
        <w:t>SZERZŐDÉS CÍME:</w:t>
      </w:r>
      <w:r>
        <w:rPr>
          <w:rFonts w:ascii="Arial" w:hAnsi="Arial" w:cs="Arial"/>
          <w:sz w:val="20"/>
          <w:szCs w:val="20"/>
        </w:rPr>
        <w:t xml:space="preserve"> </w:t>
      </w:r>
      <w:r w:rsidRPr="001E7734">
        <w:rPr>
          <w:rFonts w:ascii="Arial" w:hAnsi="Arial" w:cs="Arial"/>
          <w:sz w:val="20"/>
          <w:szCs w:val="20"/>
        </w:rPr>
        <w:t>Kanizsai Kerékpár Múzeum és Közösségi Tér</w:t>
      </w:r>
    </w:p>
    <w:p w:rsidR="001E7734" w:rsidRDefault="001E7734" w:rsidP="001E7734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1E7734">
        <w:rPr>
          <w:rFonts w:ascii="Arial" w:hAnsi="Arial" w:cs="Arial"/>
          <w:sz w:val="20"/>
          <w:szCs w:val="20"/>
        </w:rPr>
        <w:t>SZERZŐDŐ NEVE:</w:t>
      </w:r>
      <w:r>
        <w:rPr>
          <w:rFonts w:ascii="Arial" w:hAnsi="Arial" w:cs="Arial"/>
          <w:sz w:val="20"/>
          <w:szCs w:val="20"/>
        </w:rPr>
        <w:t xml:space="preserve"> </w:t>
      </w:r>
      <w:r w:rsidRPr="001E7734">
        <w:rPr>
          <w:rFonts w:ascii="Arial" w:hAnsi="Arial" w:cs="Arial"/>
          <w:sz w:val="20"/>
          <w:szCs w:val="20"/>
        </w:rPr>
        <w:t xml:space="preserve">Kanizsai </w:t>
      </w:r>
      <w:proofErr w:type="spellStart"/>
      <w:r w:rsidRPr="001E7734">
        <w:rPr>
          <w:rFonts w:ascii="Arial" w:hAnsi="Arial" w:cs="Arial"/>
          <w:sz w:val="20"/>
          <w:szCs w:val="20"/>
        </w:rPr>
        <w:t>Oldtimer</w:t>
      </w:r>
      <w:proofErr w:type="spellEnd"/>
      <w:r w:rsidRPr="001E7734">
        <w:rPr>
          <w:rFonts w:ascii="Arial" w:hAnsi="Arial" w:cs="Arial"/>
          <w:sz w:val="20"/>
          <w:szCs w:val="20"/>
        </w:rPr>
        <w:t xml:space="preserve"> Kerékpáros Egyesület</w:t>
      </w:r>
    </w:p>
    <w:p w:rsidR="00C04810" w:rsidRDefault="00C04810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67255" w:rsidRDefault="00D67255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67255" w:rsidRPr="00D67255" w:rsidRDefault="00D67255" w:rsidP="00D67255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67255">
        <w:rPr>
          <w:rFonts w:ascii="Arial" w:hAnsi="Arial" w:cs="Arial"/>
          <w:sz w:val="20"/>
          <w:szCs w:val="20"/>
        </w:rPr>
        <w:t>SZERZŐDÉS SZÁMA:</w:t>
      </w:r>
      <w:r>
        <w:rPr>
          <w:rFonts w:ascii="Arial" w:hAnsi="Arial" w:cs="Arial"/>
          <w:sz w:val="20"/>
          <w:szCs w:val="20"/>
        </w:rPr>
        <w:t xml:space="preserve"> </w:t>
      </w:r>
      <w:r w:rsidRPr="00D67255">
        <w:rPr>
          <w:rFonts w:ascii="Arial" w:hAnsi="Arial" w:cs="Arial"/>
          <w:sz w:val="20"/>
          <w:szCs w:val="20"/>
        </w:rPr>
        <w:t>TOP-7.1.1-16-H-ERFA-2022-00950</w:t>
      </w:r>
    </w:p>
    <w:p w:rsidR="00D67255" w:rsidRPr="00D67255" w:rsidRDefault="00D67255" w:rsidP="00D67255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67255">
        <w:rPr>
          <w:rFonts w:ascii="Arial" w:hAnsi="Arial" w:cs="Arial"/>
          <w:sz w:val="20"/>
          <w:szCs w:val="20"/>
        </w:rPr>
        <w:t>SZERZŐDÉS CÍME:</w:t>
      </w:r>
      <w:r>
        <w:rPr>
          <w:rFonts w:ascii="Arial" w:hAnsi="Arial" w:cs="Arial"/>
          <w:sz w:val="20"/>
          <w:szCs w:val="20"/>
        </w:rPr>
        <w:t xml:space="preserve"> </w:t>
      </w:r>
      <w:r w:rsidRPr="00D67255">
        <w:rPr>
          <w:rFonts w:ascii="Arial" w:hAnsi="Arial" w:cs="Arial"/>
          <w:sz w:val="20"/>
          <w:szCs w:val="20"/>
        </w:rPr>
        <w:t>Kanizsai Kerékpármúzeum és Közösségi Tér továbbfejlesztése</w:t>
      </w:r>
    </w:p>
    <w:p w:rsidR="00D67255" w:rsidRDefault="00D67255" w:rsidP="00D67255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67255">
        <w:rPr>
          <w:rFonts w:ascii="Arial" w:hAnsi="Arial" w:cs="Arial"/>
          <w:sz w:val="20"/>
          <w:szCs w:val="20"/>
        </w:rPr>
        <w:t>SZERZŐDŐ NEVE:</w:t>
      </w:r>
      <w:r>
        <w:rPr>
          <w:rFonts w:ascii="Arial" w:hAnsi="Arial" w:cs="Arial"/>
          <w:sz w:val="20"/>
          <w:szCs w:val="20"/>
        </w:rPr>
        <w:t xml:space="preserve"> </w:t>
      </w:r>
      <w:r w:rsidRPr="00D67255">
        <w:rPr>
          <w:rFonts w:ascii="Arial" w:hAnsi="Arial" w:cs="Arial"/>
          <w:sz w:val="20"/>
          <w:szCs w:val="20"/>
        </w:rPr>
        <w:t xml:space="preserve">Kanizsai </w:t>
      </w:r>
      <w:proofErr w:type="spellStart"/>
      <w:r w:rsidRPr="00D67255">
        <w:rPr>
          <w:rFonts w:ascii="Arial" w:hAnsi="Arial" w:cs="Arial"/>
          <w:sz w:val="20"/>
          <w:szCs w:val="20"/>
        </w:rPr>
        <w:t>Oldtimer</w:t>
      </w:r>
      <w:proofErr w:type="spellEnd"/>
      <w:r w:rsidRPr="00D67255">
        <w:rPr>
          <w:rFonts w:ascii="Arial" w:hAnsi="Arial" w:cs="Arial"/>
          <w:sz w:val="20"/>
          <w:szCs w:val="20"/>
        </w:rPr>
        <w:t xml:space="preserve"> Kerékpáros Egyesület</w:t>
      </w:r>
    </w:p>
    <w:p w:rsidR="00D67255" w:rsidRDefault="00D67255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C04810" w:rsidRDefault="00C04810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Pr="00851998" w:rsidRDefault="00907A77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851998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:rsidR="004959D2" w:rsidRDefault="004959D2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4959D2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Dene</w:t>
      </w:r>
      <w:proofErr w:type="spellEnd"/>
      <w:r>
        <w:rPr>
          <w:rFonts w:ascii="Arial" w:hAnsi="Arial" w:cs="Arial"/>
          <w:sz w:val="20"/>
          <w:szCs w:val="20"/>
        </w:rPr>
        <w:t xml:space="preserve"> Tibor, elnök</w:t>
      </w:r>
    </w:p>
    <w:p w:rsidR="004959D2" w:rsidRDefault="004959D2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Kanizsai </w:t>
      </w:r>
      <w:proofErr w:type="spellStart"/>
      <w:r>
        <w:rPr>
          <w:rFonts w:ascii="Arial" w:hAnsi="Arial" w:cs="Arial"/>
          <w:sz w:val="20"/>
          <w:szCs w:val="20"/>
        </w:rPr>
        <w:t>Oldtimer</w:t>
      </w:r>
      <w:proofErr w:type="spellEnd"/>
      <w:r>
        <w:rPr>
          <w:rFonts w:ascii="Arial" w:hAnsi="Arial" w:cs="Arial"/>
          <w:sz w:val="20"/>
          <w:szCs w:val="20"/>
        </w:rPr>
        <w:t xml:space="preserve"> Kerékpáros Egyesület</w:t>
      </w:r>
      <w:bookmarkStart w:id="0" w:name="_GoBack"/>
      <w:bookmarkEnd w:id="0"/>
    </w:p>
    <w:p w:rsidR="00D973F1" w:rsidRPr="00D973F1" w:rsidRDefault="004959D2" w:rsidP="00527209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4959D2">
        <w:rPr>
          <w:rFonts w:ascii="Arial" w:hAnsi="Arial" w:cs="Arial"/>
          <w:sz w:val="20"/>
          <w:szCs w:val="20"/>
        </w:rPr>
        <w:t>koksz.2013@gmail.com</w:t>
      </w:r>
    </w:p>
    <w:sectPr w:rsidR="00D973F1" w:rsidRPr="00D973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D5B" w:rsidRDefault="006E6D5B" w:rsidP="00D973F1">
      <w:pPr>
        <w:spacing w:after="0" w:line="240" w:lineRule="auto"/>
      </w:pPr>
      <w:r>
        <w:separator/>
      </w:r>
    </w:p>
  </w:endnote>
  <w:endnote w:type="continuationSeparator" w:id="0">
    <w:p w:rsidR="006E6D5B" w:rsidRDefault="006E6D5B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D5B" w:rsidRDefault="006E6D5B" w:rsidP="00D973F1">
      <w:pPr>
        <w:spacing w:after="0" w:line="240" w:lineRule="auto"/>
      </w:pPr>
      <w:r>
        <w:separator/>
      </w:r>
    </w:p>
  </w:footnote>
  <w:footnote w:type="continuationSeparator" w:id="0">
    <w:p w:rsidR="006E6D5B" w:rsidRDefault="006E6D5B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3F1" w:rsidRDefault="00D973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3473450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1AF3"/>
    <w:multiLevelType w:val="hybridMultilevel"/>
    <w:tmpl w:val="A48E53F6"/>
    <w:lvl w:ilvl="0" w:tplc="55728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E06FD"/>
    <w:multiLevelType w:val="hybridMultilevel"/>
    <w:tmpl w:val="1F881C0A"/>
    <w:lvl w:ilvl="0" w:tplc="383CD11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52861"/>
    <w:rsid w:val="001E7734"/>
    <w:rsid w:val="001F6CA7"/>
    <w:rsid w:val="00270C18"/>
    <w:rsid w:val="004959D2"/>
    <w:rsid w:val="00527209"/>
    <w:rsid w:val="00552305"/>
    <w:rsid w:val="005551BD"/>
    <w:rsid w:val="00637691"/>
    <w:rsid w:val="006E6D5B"/>
    <w:rsid w:val="008176CC"/>
    <w:rsid w:val="00851998"/>
    <w:rsid w:val="00907A77"/>
    <w:rsid w:val="00930275"/>
    <w:rsid w:val="00A25AF9"/>
    <w:rsid w:val="00C04810"/>
    <w:rsid w:val="00CB4E9F"/>
    <w:rsid w:val="00D67255"/>
    <w:rsid w:val="00D973F1"/>
    <w:rsid w:val="00DF59F0"/>
    <w:rsid w:val="00E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EE2B9"/>
  <w15:docId w15:val="{4AFFFCA1-1AE6-4CB7-BCD8-102680C8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3769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Cserti Csilla</cp:lastModifiedBy>
  <cp:revision>2</cp:revision>
  <dcterms:created xsi:type="dcterms:W3CDTF">2023-09-19T13:48:00Z</dcterms:created>
  <dcterms:modified xsi:type="dcterms:W3CDTF">2023-09-19T13:48:00Z</dcterms:modified>
</cp:coreProperties>
</file>